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339" w:rsidRPr="00437339" w:rsidRDefault="00437339" w:rsidP="00437339">
      <w:pPr>
        <w:pStyle w:val="NormalWeb"/>
        <w:shd w:val="clear" w:color="auto" w:fill="FFFFFF"/>
        <w:spacing w:before="0" w:beforeAutospacing="0" w:after="150" w:afterAutospacing="0" w:line="270" w:lineRule="atLeast"/>
        <w:rPr>
          <w:b/>
          <w:bCs/>
          <w:color w:val="000000"/>
          <w:sz w:val="20"/>
          <w:szCs w:val="18"/>
        </w:rPr>
      </w:pPr>
      <w:bookmarkStart w:id="0" w:name="_GoBack"/>
      <w:bookmarkEnd w:id="0"/>
      <w:r w:rsidRPr="00437339">
        <w:rPr>
          <w:b/>
          <w:bCs/>
          <w:color w:val="000000"/>
          <w:sz w:val="20"/>
          <w:szCs w:val="18"/>
        </w:rPr>
        <w:t>Background Information</w:t>
      </w:r>
    </w:p>
    <w:p w:rsidR="00437339" w:rsidRPr="00437339" w:rsidRDefault="00437339" w:rsidP="00437339">
      <w:pPr>
        <w:pStyle w:val="NormalWeb"/>
        <w:shd w:val="clear" w:color="auto" w:fill="FFFFFF"/>
        <w:spacing w:before="0" w:beforeAutospacing="0" w:after="150" w:afterAutospacing="0" w:line="270" w:lineRule="atLeast"/>
        <w:rPr>
          <w:color w:val="000000"/>
          <w:sz w:val="20"/>
          <w:szCs w:val="18"/>
        </w:rPr>
      </w:pPr>
      <w:r w:rsidRPr="00437339">
        <w:rPr>
          <w:color w:val="000000"/>
          <w:sz w:val="20"/>
          <w:szCs w:val="18"/>
        </w:rPr>
        <w:t>Human resource professionals know that people – or human capital – are the heart of any successful enterprise, especially in tough economic times.  People provide creativity and innovation, but these intangible contributions are rarely reflected in financial statements.  Unlike structural capital, human capital never really belongs to the firm.  People can walk out the door at any time unless companies find ways to keep them.</w:t>
      </w:r>
    </w:p>
    <w:p w:rsidR="00437339" w:rsidRPr="00437339" w:rsidRDefault="00437339" w:rsidP="00437339">
      <w:pPr>
        <w:pStyle w:val="NormalWeb"/>
        <w:shd w:val="clear" w:color="auto" w:fill="FFFFFF"/>
        <w:spacing w:before="0" w:beforeAutospacing="0" w:after="150" w:afterAutospacing="0" w:line="270" w:lineRule="atLeast"/>
        <w:rPr>
          <w:color w:val="000000"/>
          <w:sz w:val="20"/>
          <w:szCs w:val="18"/>
        </w:rPr>
      </w:pPr>
      <w:r w:rsidRPr="00437339">
        <w:rPr>
          <w:color w:val="000000"/>
          <w:sz w:val="20"/>
          <w:szCs w:val="18"/>
        </w:rPr>
        <w:t>Human capital drives every aspect of an organization’s operations, from technology and product design to distribution networks and service deliver.  Considering the vital role human capital plays in a firm’s ability to compete in the global economy, HR professionals are always seeking new ways to tap this potential.</w:t>
      </w:r>
    </w:p>
    <w:p w:rsidR="00437339" w:rsidRPr="00437339" w:rsidRDefault="00437339" w:rsidP="00437339">
      <w:pPr>
        <w:pStyle w:val="NormalWeb"/>
        <w:shd w:val="clear" w:color="auto" w:fill="FFFFFF"/>
        <w:spacing w:before="0" w:beforeAutospacing="0" w:after="150" w:afterAutospacing="0" w:line="270" w:lineRule="atLeast"/>
        <w:rPr>
          <w:color w:val="000000"/>
          <w:sz w:val="20"/>
          <w:szCs w:val="18"/>
        </w:rPr>
      </w:pPr>
      <w:r w:rsidRPr="00437339">
        <w:rPr>
          <w:color w:val="000000"/>
          <w:sz w:val="20"/>
          <w:szCs w:val="18"/>
        </w:rPr>
        <w:t>One way to build competitive advantage for your organization is to improve the health status and well-being of your employees.  The latest research shows that health, work behavior and the value of human capital are linked.  Put simply, employee health status directly influences employee work behavior, work attendance and on-the-job performance.  Therefore, developing healthier employees will result in a more productive workforce (Chenoweth, 2011).</w:t>
      </w:r>
    </w:p>
    <w:p w:rsidR="00437339" w:rsidRPr="00437339" w:rsidRDefault="00437339" w:rsidP="00437339">
      <w:pPr>
        <w:pStyle w:val="NormalWeb"/>
        <w:shd w:val="clear" w:color="auto" w:fill="FFFFFF"/>
        <w:spacing w:before="0" w:beforeAutospacing="0" w:after="150" w:afterAutospacing="0" w:line="270" w:lineRule="atLeast"/>
        <w:rPr>
          <w:b/>
          <w:bCs/>
          <w:color w:val="000000"/>
          <w:sz w:val="20"/>
          <w:szCs w:val="18"/>
        </w:rPr>
      </w:pPr>
      <w:r w:rsidRPr="00437339">
        <w:rPr>
          <w:b/>
          <w:bCs/>
          <w:color w:val="000000"/>
          <w:sz w:val="20"/>
          <w:szCs w:val="18"/>
        </w:rPr>
        <w:t>Instructions</w:t>
      </w:r>
    </w:p>
    <w:p w:rsidR="00437339" w:rsidRPr="00437339" w:rsidRDefault="00437339" w:rsidP="00437339">
      <w:pPr>
        <w:pStyle w:val="NormalWeb"/>
        <w:numPr>
          <w:ilvl w:val="0"/>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Review chapters 2, 7, and 8 in your </w:t>
      </w:r>
      <w:r w:rsidRPr="00437339">
        <w:rPr>
          <w:i/>
          <w:iCs/>
          <w:color w:val="000000"/>
          <w:sz w:val="20"/>
          <w:szCs w:val="18"/>
        </w:rPr>
        <w:t>PHR/SPHR: Professional in Human Resources Certification Study Guide </w:t>
      </w:r>
      <w:r w:rsidRPr="00437339">
        <w:rPr>
          <w:color w:val="000000"/>
          <w:sz w:val="20"/>
          <w:szCs w:val="18"/>
        </w:rPr>
        <w:t>textbook.</w:t>
      </w:r>
    </w:p>
    <w:p w:rsidR="00437339" w:rsidRPr="00437339" w:rsidRDefault="00437339" w:rsidP="00437339">
      <w:pPr>
        <w:pStyle w:val="NormalWeb"/>
        <w:numPr>
          <w:ilvl w:val="0"/>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Download and review </w:t>
      </w:r>
      <w:hyperlink r:id="rId5" w:tgtFrame="_new" w:history="1">
        <w:r w:rsidRPr="00437339">
          <w:rPr>
            <w:rStyle w:val="Hyperlink"/>
            <w:b/>
            <w:bCs/>
            <w:sz w:val="20"/>
            <w:szCs w:val="18"/>
          </w:rPr>
          <w:t>Promoting Employee Well-being</w:t>
        </w:r>
      </w:hyperlink>
      <w:r w:rsidRPr="00437339">
        <w:rPr>
          <w:color w:val="000000"/>
          <w:sz w:val="20"/>
          <w:szCs w:val="18"/>
        </w:rPr>
        <w:t> and write a three to four page paper addressing the HRM topic of employee health and well-being, as taken from the textbook, Chenoweth’s (2011) report, other reference sources, personal experience, and one organization with which you are familiar.  In your paper, include at least one paragraph for each of the following in your paper:</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Introduction: Provide an introduction.  Be sure to introduce the topic and also the organization.</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Five Dramatic Changes to Work Site Demographics: Name the five most dramatic changes to the work site demographics over the past decade and their influence in the workplace.  Describe how these have had an impact on your organization.</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 xml:space="preserve">Top Health Cost Drivers: Identify the top health cost drivers according to the report.  Include in this section of your paper the definitions of </w:t>
      </w:r>
      <w:proofErr w:type="spellStart"/>
      <w:r w:rsidRPr="00437339">
        <w:rPr>
          <w:color w:val="000000"/>
          <w:sz w:val="20"/>
          <w:szCs w:val="18"/>
        </w:rPr>
        <w:t>presenteeism</w:t>
      </w:r>
      <w:proofErr w:type="spellEnd"/>
      <w:r w:rsidRPr="00437339">
        <w:rPr>
          <w:color w:val="000000"/>
          <w:sz w:val="20"/>
          <w:szCs w:val="18"/>
        </w:rPr>
        <w:t xml:space="preserve"> and absenteeism.</w:t>
      </w:r>
    </w:p>
    <w:p w:rsidR="00437339" w:rsidRPr="00437339" w:rsidRDefault="00437339" w:rsidP="00437339">
      <w:pPr>
        <w:pStyle w:val="NormalWeb"/>
        <w:numPr>
          <w:ilvl w:val="2"/>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Which of these top health cost drivers are affecting your organization’s bottom line?  This information may be obtained through interviews with HR, insurance reports, or other internal/external data.  If information is not available, then explain your perception of which of the top health cost drivers are impacting your organization’s bottom line (this may be supported by national averages as well).</w:t>
      </w:r>
    </w:p>
    <w:p w:rsidR="00437339" w:rsidRPr="00437339" w:rsidRDefault="00437339" w:rsidP="00437339">
      <w:pPr>
        <w:pStyle w:val="NormalWeb"/>
        <w:numPr>
          <w:ilvl w:val="2"/>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Prepare a framework to calculate costs, as shown in Table 4 and Table 5 on page 6 of the report.  Detailed instructions for the calculations may be found on page 7 of the report.</w:t>
      </w:r>
    </w:p>
    <w:p w:rsidR="00437339" w:rsidRPr="00437339" w:rsidRDefault="00437339" w:rsidP="00437339">
      <w:pPr>
        <w:pStyle w:val="NormalWeb"/>
        <w:numPr>
          <w:ilvl w:val="3"/>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Obtain total number of employees of the organization.</w:t>
      </w:r>
    </w:p>
    <w:p w:rsidR="00437339" w:rsidRPr="00437339" w:rsidRDefault="00437339" w:rsidP="00437339">
      <w:pPr>
        <w:pStyle w:val="NormalWeb"/>
        <w:numPr>
          <w:ilvl w:val="3"/>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Obtain actual organization data on the prevalence of each risk factor in your workforce using employee health risk surveys and health screenings, or use national norms (as provided in the report).</w:t>
      </w:r>
    </w:p>
    <w:p w:rsidR="00437339" w:rsidRPr="00437339" w:rsidRDefault="00437339" w:rsidP="00437339">
      <w:pPr>
        <w:pStyle w:val="NormalWeb"/>
        <w:numPr>
          <w:ilvl w:val="3"/>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 xml:space="preserve">Calculate the risk-factor-specific lost productivity (absenteeism and </w:t>
      </w:r>
      <w:proofErr w:type="spellStart"/>
      <w:r w:rsidRPr="00437339">
        <w:rPr>
          <w:color w:val="000000"/>
          <w:sz w:val="20"/>
          <w:szCs w:val="18"/>
        </w:rPr>
        <w:t>presenteeism</w:t>
      </w:r>
      <w:proofErr w:type="spellEnd"/>
      <w:r w:rsidRPr="00437339">
        <w:rPr>
          <w:color w:val="000000"/>
          <w:sz w:val="20"/>
          <w:szCs w:val="18"/>
        </w:rPr>
        <w:t>) costs (as shown in Table 4) and the risk-factor-specific total costs (medical and lost productivity) (as shown in Table 5).</w:t>
      </w:r>
    </w:p>
    <w:p w:rsidR="00437339" w:rsidRPr="00437339" w:rsidRDefault="00437339" w:rsidP="00437339">
      <w:pPr>
        <w:pStyle w:val="NormalWeb"/>
        <w:numPr>
          <w:ilvl w:val="3"/>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Place the completed tables in the appendix section of the paper with narrative reference to the tables in the body of the paper.</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When addressing employee well-being from a strategic viewpoint, it is important to understand the work site culture and environment, as well as individual and workplace health determinants.  The most notable health determinant variables– as detailed in the report – include: past behavior, demographics, personality traits, social supports, family functioning, ongoing contact with health advocates, social ecology or networking. </w:t>
      </w:r>
    </w:p>
    <w:p w:rsidR="00437339" w:rsidRPr="00437339" w:rsidRDefault="00437339" w:rsidP="00437339">
      <w:pPr>
        <w:pStyle w:val="NormalWeb"/>
        <w:numPr>
          <w:ilvl w:val="2"/>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Current State of Cultural Norms and Health: Include in the report a description of the current state of cultural norms and health, as well as the employer’s present assumption of responsibility for creating a healthy work culture (if at all currently assumed).</w:t>
      </w:r>
    </w:p>
    <w:p w:rsidR="00437339" w:rsidRPr="00437339" w:rsidRDefault="00437339" w:rsidP="00437339">
      <w:pPr>
        <w:pStyle w:val="NormalWeb"/>
        <w:numPr>
          <w:ilvl w:val="2"/>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Current State of Health Determinants: The notable health determinants cited above “represent significant predictors of dietary and exercise regimen adherence, smoking cessation, decreased alcohol consumption and adherence to medical treatment regimens” (p. 10).  Describe the current state of these health determinants for your employees and organization environment.</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Identified Existing Gaps: Pull together the information provided in the cost analysis (c.) and the current state of the organization (</w:t>
      </w:r>
      <w:proofErr w:type="spellStart"/>
      <w:r w:rsidRPr="00437339">
        <w:rPr>
          <w:color w:val="000000"/>
          <w:sz w:val="20"/>
          <w:szCs w:val="18"/>
        </w:rPr>
        <w:t>d.i</w:t>
      </w:r>
      <w:proofErr w:type="spellEnd"/>
      <w:r w:rsidRPr="00437339">
        <w:rPr>
          <w:color w:val="000000"/>
          <w:sz w:val="20"/>
          <w:szCs w:val="18"/>
        </w:rPr>
        <w:t xml:space="preserve">. and </w:t>
      </w:r>
      <w:proofErr w:type="spellStart"/>
      <w:r w:rsidRPr="00437339">
        <w:rPr>
          <w:color w:val="000000"/>
          <w:sz w:val="20"/>
          <w:szCs w:val="18"/>
        </w:rPr>
        <w:t>d.ii</w:t>
      </w:r>
      <w:proofErr w:type="spellEnd"/>
      <w:r w:rsidRPr="00437339">
        <w:rPr>
          <w:color w:val="000000"/>
          <w:sz w:val="20"/>
          <w:szCs w:val="18"/>
        </w:rPr>
        <w:t xml:space="preserve">.), as well as any other resources available to tap into identify the most pressing health and work behavior challenges for the company (e.g., absenteeism, disability and health care utilization rates when compared to benchmark/industry averages, upward trends in the average annual percentage rate increase of costs attributable to health and worksite behavior (i.e., increased incidents of workers’ compensation claims), and so forth. Then, identify any gap(s) that exists between the current state of employee </w:t>
      </w:r>
      <w:proofErr w:type="spellStart"/>
      <w:r w:rsidRPr="00437339">
        <w:rPr>
          <w:color w:val="000000"/>
          <w:sz w:val="20"/>
          <w:szCs w:val="18"/>
        </w:rPr>
        <w:t>well being</w:t>
      </w:r>
      <w:proofErr w:type="spellEnd"/>
      <w:r w:rsidRPr="00437339">
        <w:rPr>
          <w:color w:val="000000"/>
          <w:sz w:val="20"/>
          <w:szCs w:val="18"/>
        </w:rPr>
        <w:t xml:space="preserve"> and the ideal state of employee well-being. </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A Health and Work Behavior Plan: Using the information provided in the report and elsewhere, develop a health and work behavior plan.  A table or other graphic form (with possible inclusion of a timetable and/or HR metrics) may be used to display the health and work behavior plan information. </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Integrate the concepts of employee and labor relations– from the perspective of onboarding, with an understanding of those same or similar concepts from a Christian worldview.</w:t>
      </w:r>
    </w:p>
    <w:p w:rsidR="00437339" w:rsidRPr="00437339" w:rsidRDefault="00437339" w:rsidP="00437339">
      <w:pPr>
        <w:pStyle w:val="NormalWeb"/>
        <w:numPr>
          <w:ilvl w:val="1"/>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Conclusion: Provide a conclusion.</w:t>
      </w:r>
    </w:p>
    <w:p w:rsidR="00437339" w:rsidRPr="00437339" w:rsidRDefault="00437339" w:rsidP="00437339">
      <w:pPr>
        <w:pStyle w:val="NormalWeb"/>
        <w:numPr>
          <w:ilvl w:val="0"/>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The written paper should contain at least one paragraph for each lettered item in response to the analysis, and use appropriate matching headings in the paper. </w:t>
      </w:r>
    </w:p>
    <w:p w:rsidR="00437339" w:rsidRPr="00437339" w:rsidRDefault="00437339" w:rsidP="00437339">
      <w:pPr>
        <w:pStyle w:val="NormalWeb"/>
        <w:numPr>
          <w:ilvl w:val="0"/>
          <w:numId w:val="5"/>
        </w:numPr>
        <w:shd w:val="clear" w:color="auto" w:fill="FFFFFF"/>
        <w:spacing w:before="0" w:beforeAutospacing="0" w:after="150" w:afterAutospacing="0" w:line="270" w:lineRule="atLeast"/>
        <w:rPr>
          <w:color w:val="000000"/>
          <w:sz w:val="20"/>
          <w:szCs w:val="18"/>
        </w:rPr>
      </w:pPr>
      <w:r w:rsidRPr="00437339">
        <w:rPr>
          <w:color w:val="000000"/>
          <w:sz w:val="20"/>
          <w:szCs w:val="18"/>
        </w:rPr>
        <w:t>Your paper is to be written in APA format with proper mechanics (i.e., grammar, spelling, word choice, punctuation, and sentence structure).  A title page and reference page are required, in addition to the three to four pages and optional appendix.</w:t>
      </w:r>
    </w:p>
    <w:p w:rsidR="00E06830" w:rsidRPr="00437339" w:rsidRDefault="00E06830" w:rsidP="00437339">
      <w:pPr>
        <w:pStyle w:val="NormalWeb"/>
        <w:shd w:val="clear" w:color="auto" w:fill="FFFFFF"/>
        <w:spacing w:before="0" w:beforeAutospacing="0" w:after="150" w:afterAutospacing="0" w:line="270" w:lineRule="atLeast"/>
        <w:rPr>
          <w:color w:val="000000"/>
          <w:sz w:val="20"/>
          <w:szCs w:val="18"/>
        </w:rPr>
      </w:pPr>
    </w:p>
    <w:p w:rsidR="00D56858" w:rsidRPr="00D56858" w:rsidRDefault="00D56858" w:rsidP="00E06830">
      <w:pPr>
        <w:rPr>
          <w:rFonts w:ascii="Arial" w:eastAsia="Times New Roman" w:hAnsi="Arial" w:cs="Arial"/>
          <w:color w:val="000000"/>
          <w:sz w:val="16"/>
          <w:szCs w:val="18"/>
          <w:lang w:eastAsia="en-US"/>
        </w:rPr>
      </w:pPr>
    </w:p>
    <w:p w:rsidR="00CA72D0" w:rsidRPr="00C0000B" w:rsidRDefault="00CA72D0" w:rsidP="00233320">
      <w:pPr>
        <w:spacing w:before="100" w:beforeAutospacing="1" w:after="100" w:afterAutospacing="1"/>
        <w:rPr>
          <w:rFonts w:ascii="Arial" w:eastAsia="Times New Roman" w:hAnsi="Arial" w:cs="Arial"/>
          <w:color w:val="000000"/>
          <w:sz w:val="20"/>
          <w:szCs w:val="20"/>
          <w:lang w:eastAsia="en-US"/>
        </w:rPr>
      </w:pPr>
    </w:p>
    <w:sectPr w:rsidR="00CA72D0" w:rsidRPr="00C0000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54D"/>
    <w:multiLevelType w:val="multilevel"/>
    <w:tmpl w:val="21344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3B394F"/>
    <w:multiLevelType w:val="multilevel"/>
    <w:tmpl w:val="8EBC5D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33493A"/>
    <w:multiLevelType w:val="multilevel"/>
    <w:tmpl w:val="E46A6B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DF2546"/>
    <w:multiLevelType w:val="multilevel"/>
    <w:tmpl w:val="3312B03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D0F17A6"/>
    <w:multiLevelType w:val="multilevel"/>
    <w:tmpl w:val="E266E9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D17"/>
    <w:rsid w:val="000D0EA6"/>
    <w:rsid w:val="00233320"/>
    <w:rsid w:val="002A178C"/>
    <w:rsid w:val="00305CEF"/>
    <w:rsid w:val="00387389"/>
    <w:rsid w:val="00437339"/>
    <w:rsid w:val="00475A14"/>
    <w:rsid w:val="004D6D17"/>
    <w:rsid w:val="004E5D4D"/>
    <w:rsid w:val="00513C95"/>
    <w:rsid w:val="005B1A90"/>
    <w:rsid w:val="007452ED"/>
    <w:rsid w:val="007B6597"/>
    <w:rsid w:val="007C24B6"/>
    <w:rsid w:val="0089303C"/>
    <w:rsid w:val="009027B0"/>
    <w:rsid w:val="00A05675"/>
    <w:rsid w:val="00AF52B1"/>
    <w:rsid w:val="00C0000B"/>
    <w:rsid w:val="00CA72D0"/>
    <w:rsid w:val="00CC1FD8"/>
    <w:rsid w:val="00D50A5D"/>
    <w:rsid w:val="00D56858"/>
    <w:rsid w:val="00DE56AF"/>
    <w:rsid w:val="00E06830"/>
    <w:rsid w:val="00E23E73"/>
    <w:rsid w:val="00F02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590BBE-0FB3-49B6-8EDD-1C621BB6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format">
    <w:name w:val="noformat"/>
    <w:basedOn w:val="Normal"/>
    <w:rsid w:val="00CA72D0"/>
    <w:pPr>
      <w:spacing w:before="100" w:beforeAutospacing="1" w:after="100" w:afterAutospacing="1"/>
    </w:pPr>
    <w:rPr>
      <w:rFonts w:eastAsia="Times New Roman"/>
      <w:lang w:eastAsia="en-US"/>
    </w:rPr>
  </w:style>
  <w:style w:type="character" w:customStyle="1" w:styleId="noformat1">
    <w:name w:val="noformat1"/>
    <w:basedOn w:val="DefaultParagraphFont"/>
    <w:rsid w:val="00CA72D0"/>
  </w:style>
  <w:style w:type="character" w:customStyle="1" w:styleId="apple-converted-space">
    <w:name w:val="apple-converted-space"/>
    <w:basedOn w:val="DefaultParagraphFont"/>
    <w:rsid w:val="00CA72D0"/>
  </w:style>
  <w:style w:type="character" w:styleId="Emphasis">
    <w:name w:val="Emphasis"/>
    <w:basedOn w:val="DefaultParagraphFont"/>
    <w:uiPriority w:val="20"/>
    <w:qFormat/>
    <w:rsid w:val="00CA72D0"/>
    <w:rPr>
      <w:i/>
      <w:iCs/>
    </w:rPr>
  </w:style>
  <w:style w:type="paragraph" w:styleId="ListParagraph">
    <w:name w:val="List Paragraph"/>
    <w:basedOn w:val="Normal"/>
    <w:uiPriority w:val="34"/>
    <w:qFormat/>
    <w:rsid w:val="002A178C"/>
    <w:pPr>
      <w:ind w:left="720"/>
      <w:contextualSpacing/>
    </w:pPr>
  </w:style>
  <w:style w:type="paragraph" w:styleId="NormalWeb">
    <w:name w:val="Normal (Web)"/>
    <w:basedOn w:val="Normal"/>
    <w:uiPriority w:val="99"/>
    <w:semiHidden/>
    <w:unhideWhenUsed/>
    <w:rsid w:val="00233320"/>
    <w:pPr>
      <w:spacing w:before="100" w:beforeAutospacing="1" w:after="100" w:afterAutospacing="1"/>
    </w:pPr>
    <w:rPr>
      <w:rFonts w:eastAsia="Times New Roman"/>
      <w:lang w:eastAsia="en-US"/>
    </w:rPr>
  </w:style>
  <w:style w:type="character" w:styleId="Strong">
    <w:name w:val="Strong"/>
    <w:basedOn w:val="DefaultParagraphFont"/>
    <w:uiPriority w:val="22"/>
    <w:qFormat/>
    <w:rsid w:val="00233320"/>
    <w:rPr>
      <w:b/>
      <w:bCs/>
    </w:rPr>
  </w:style>
  <w:style w:type="character" w:styleId="Hyperlink">
    <w:name w:val="Hyperlink"/>
    <w:basedOn w:val="DefaultParagraphFont"/>
    <w:uiPriority w:val="99"/>
    <w:unhideWhenUsed/>
    <w:rsid w:val="004373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28565">
      <w:bodyDiv w:val="1"/>
      <w:marLeft w:val="0"/>
      <w:marRight w:val="0"/>
      <w:marTop w:val="0"/>
      <w:marBottom w:val="0"/>
      <w:divBdr>
        <w:top w:val="none" w:sz="0" w:space="0" w:color="auto"/>
        <w:left w:val="none" w:sz="0" w:space="0" w:color="auto"/>
        <w:bottom w:val="none" w:sz="0" w:space="0" w:color="auto"/>
        <w:right w:val="none" w:sz="0" w:space="0" w:color="auto"/>
      </w:divBdr>
      <w:divsChild>
        <w:div w:id="1032729639">
          <w:marLeft w:val="0"/>
          <w:marRight w:val="0"/>
          <w:marTop w:val="0"/>
          <w:marBottom w:val="0"/>
          <w:divBdr>
            <w:top w:val="none" w:sz="0" w:space="0" w:color="auto"/>
            <w:left w:val="none" w:sz="0" w:space="0" w:color="auto"/>
            <w:bottom w:val="none" w:sz="0" w:space="0" w:color="auto"/>
            <w:right w:val="none" w:sz="0" w:space="0" w:color="auto"/>
          </w:divBdr>
        </w:div>
        <w:div w:id="104270672">
          <w:marLeft w:val="0"/>
          <w:marRight w:val="0"/>
          <w:marTop w:val="0"/>
          <w:marBottom w:val="0"/>
          <w:divBdr>
            <w:top w:val="none" w:sz="0" w:space="0" w:color="auto"/>
            <w:left w:val="none" w:sz="0" w:space="0" w:color="auto"/>
            <w:bottom w:val="none" w:sz="0" w:space="0" w:color="auto"/>
            <w:right w:val="none" w:sz="0" w:space="0" w:color="auto"/>
          </w:divBdr>
        </w:div>
      </w:divsChild>
    </w:div>
    <w:div w:id="122619950">
      <w:bodyDiv w:val="1"/>
      <w:marLeft w:val="0"/>
      <w:marRight w:val="0"/>
      <w:marTop w:val="0"/>
      <w:marBottom w:val="0"/>
      <w:divBdr>
        <w:top w:val="none" w:sz="0" w:space="0" w:color="auto"/>
        <w:left w:val="none" w:sz="0" w:space="0" w:color="auto"/>
        <w:bottom w:val="none" w:sz="0" w:space="0" w:color="auto"/>
        <w:right w:val="none" w:sz="0" w:space="0" w:color="auto"/>
      </w:divBdr>
    </w:div>
    <w:div w:id="878516755">
      <w:bodyDiv w:val="1"/>
      <w:marLeft w:val="0"/>
      <w:marRight w:val="0"/>
      <w:marTop w:val="0"/>
      <w:marBottom w:val="0"/>
      <w:divBdr>
        <w:top w:val="none" w:sz="0" w:space="0" w:color="auto"/>
        <w:left w:val="none" w:sz="0" w:space="0" w:color="auto"/>
        <w:bottom w:val="none" w:sz="0" w:space="0" w:color="auto"/>
        <w:right w:val="none" w:sz="0" w:space="0" w:color="auto"/>
      </w:divBdr>
    </w:div>
    <w:div w:id="908542580">
      <w:bodyDiv w:val="1"/>
      <w:marLeft w:val="0"/>
      <w:marRight w:val="0"/>
      <w:marTop w:val="0"/>
      <w:marBottom w:val="0"/>
      <w:divBdr>
        <w:top w:val="none" w:sz="0" w:space="0" w:color="auto"/>
        <w:left w:val="none" w:sz="0" w:space="0" w:color="auto"/>
        <w:bottom w:val="none" w:sz="0" w:space="0" w:color="auto"/>
        <w:right w:val="none" w:sz="0" w:space="0" w:color="auto"/>
      </w:divBdr>
    </w:div>
    <w:div w:id="936132881">
      <w:bodyDiv w:val="1"/>
      <w:marLeft w:val="0"/>
      <w:marRight w:val="0"/>
      <w:marTop w:val="0"/>
      <w:marBottom w:val="0"/>
      <w:divBdr>
        <w:top w:val="none" w:sz="0" w:space="0" w:color="auto"/>
        <w:left w:val="none" w:sz="0" w:space="0" w:color="auto"/>
        <w:bottom w:val="none" w:sz="0" w:space="0" w:color="auto"/>
        <w:right w:val="none" w:sz="0" w:space="0" w:color="auto"/>
      </w:divBdr>
    </w:div>
    <w:div w:id="999776715">
      <w:bodyDiv w:val="1"/>
      <w:marLeft w:val="0"/>
      <w:marRight w:val="0"/>
      <w:marTop w:val="0"/>
      <w:marBottom w:val="0"/>
      <w:divBdr>
        <w:top w:val="none" w:sz="0" w:space="0" w:color="auto"/>
        <w:left w:val="none" w:sz="0" w:space="0" w:color="auto"/>
        <w:bottom w:val="none" w:sz="0" w:space="0" w:color="auto"/>
        <w:right w:val="none" w:sz="0" w:space="0" w:color="auto"/>
      </w:divBdr>
      <w:divsChild>
        <w:div w:id="552039594">
          <w:marLeft w:val="0"/>
          <w:marRight w:val="0"/>
          <w:marTop w:val="0"/>
          <w:marBottom w:val="0"/>
          <w:divBdr>
            <w:top w:val="none" w:sz="0" w:space="0" w:color="auto"/>
            <w:left w:val="none" w:sz="0" w:space="0" w:color="auto"/>
            <w:bottom w:val="none" w:sz="0" w:space="0" w:color="auto"/>
            <w:right w:val="none" w:sz="0" w:space="0" w:color="auto"/>
          </w:divBdr>
        </w:div>
      </w:divsChild>
    </w:div>
    <w:div w:id="1343436110">
      <w:bodyDiv w:val="1"/>
      <w:marLeft w:val="0"/>
      <w:marRight w:val="0"/>
      <w:marTop w:val="0"/>
      <w:marBottom w:val="0"/>
      <w:divBdr>
        <w:top w:val="none" w:sz="0" w:space="0" w:color="auto"/>
        <w:left w:val="none" w:sz="0" w:space="0" w:color="auto"/>
        <w:bottom w:val="none" w:sz="0" w:space="0" w:color="auto"/>
        <w:right w:val="none" w:sz="0" w:space="0" w:color="auto"/>
      </w:divBdr>
    </w:div>
    <w:div w:id="1535145948">
      <w:bodyDiv w:val="1"/>
      <w:marLeft w:val="0"/>
      <w:marRight w:val="0"/>
      <w:marTop w:val="0"/>
      <w:marBottom w:val="0"/>
      <w:divBdr>
        <w:top w:val="none" w:sz="0" w:space="0" w:color="auto"/>
        <w:left w:val="none" w:sz="0" w:space="0" w:color="auto"/>
        <w:bottom w:val="none" w:sz="0" w:space="0" w:color="auto"/>
        <w:right w:val="none" w:sz="0" w:space="0" w:color="auto"/>
      </w:divBdr>
    </w:div>
    <w:div w:id="1694960178">
      <w:bodyDiv w:val="1"/>
      <w:marLeft w:val="0"/>
      <w:marRight w:val="0"/>
      <w:marTop w:val="0"/>
      <w:marBottom w:val="0"/>
      <w:divBdr>
        <w:top w:val="none" w:sz="0" w:space="0" w:color="auto"/>
        <w:left w:val="none" w:sz="0" w:space="0" w:color="auto"/>
        <w:bottom w:val="none" w:sz="0" w:space="0" w:color="auto"/>
        <w:right w:val="none" w:sz="0" w:space="0" w:color="auto"/>
      </w:divBdr>
      <w:divsChild>
        <w:div w:id="774860212">
          <w:marLeft w:val="0"/>
          <w:marRight w:val="0"/>
          <w:marTop w:val="0"/>
          <w:marBottom w:val="0"/>
          <w:divBdr>
            <w:top w:val="none" w:sz="0" w:space="0" w:color="auto"/>
            <w:left w:val="none" w:sz="0" w:space="0" w:color="auto"/>
            <w:bottom w:val="none" w:sz="0" w:space="0" w:color="auto"/>
            <w:right w:val="none" w:sz="0" w:space="0" w:color="auto"/>
          </w:divBdr>
        </w:div>
        <w:div w:id="140452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vizedhtmlcontent.next.ecollege.com/CurrentCourse/fileResources/Promoting_Employee_Wellbeing.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935</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mike</cp:lastModifiedBy>
  <cp:revision>2</cp:revision>
  <dcterms:created xsi:type="dcterms:W3CDTF">2016-06-24T15:45:00Z</dcterms:created>
  <dcterms:modified xsi:type="dcterms:W3CDTF">2016-06-24T15:45:00Z</dcterms:modified>
</cp:coreProperties>
</file>